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spacing w:line="592" w:lineRule="exact"/>
        <w:jc w:val="both"/>
        <w:textAlignment w:val="auto"/>
        <w:rPr>
          <w:rFonts w:hint="eastAsia" w:ascii="Times New Roman" w:hAnsi="Times New Roman" w:eastAsia="黑体" w:cs="黑体"/>
          <w:snapToGrid w:val="0"/>
          <w:color w:val="000000"/>
          <w:spacing w:val="0"/>
          <w:kern w:val="0"/>
          <w:sz w:val="32"/>
          <w:szCs w:val="32"/>
          <w:lang w:val="en-US" w:eastAsia="zh-CN" w:bidi="ar-SA"/>
        </w:rPr>
      </w:pPr>
      <w:bookmarkStart w:id="0" w:name="_GoBack"/>
      <w:bookmarkEnd w:id="0"/>
      <w:r>
        <w:rPr>
          <w:rFonts w:hint="eastAsia" w:ascii="Times New Roman" w:hAnsi="Times New Roman" w:eastAsia="黑体" w:cs="黑体"/>
          <w:snapToGrid w:val="0"/>
          <w:color w:val="000000"/>
          <w:spacing w:val="0"/>
          <w:kern w:val="0"/>
          <w:sz w:val="32"/>
          <w:szCs w:val="32"/>
          <w:lang w:val="en-US" w:eastAsia="zh-CN" w:bidi="ar-SA"/>
        </w:rPr>
        <w:t>附件</w:t>
      </w:r>
    </w:p>
    <w:p>
      <w:pPr>
        <w:keepNext w:val="0"/>
        <w:keepLines w:val="0"/>
        <w:pageBreakBefore w:val="0"/>
        <w:widowControl w:val="0"/>
        <w:kinsoku/>
        <w:wordWrap/>
        <w:overflowPunct w:val="0"/>
        <w:topLinePunct w:val="0"/>
        <w:autoSpaceDE w:val="0"/>
        <w:autoSpaceDN w:val="0"/>
        <w:bidi w:val="0"/>
        <w:adjustRightInd/>
        <w:snapToGrid/>
        <w:spacing w:line="592" w:lineRule="exact"/>
        <w:jc w:val="both"/>
        <w:textAlignment w:val="auto"/>
        <w:rPr>
          <w:rFonts w:hint="eastAsia" w:ascii="Times New Roman" w:hAnsi="Times New Roman" w:eastAsia="方正小标宋_GBK"/>
          <w:snapToGrid w:val="0"/>
          <w:color w:val="000000"/>
          <w:spacing w:val="0"/>
          <w:kern w:val="0"/>
          <w:sz w:val="44"/>
          <w:szCs w:val="44"/>
          <w:lang w:val="en-US" w:eastAsia="zh-CN"/>
        </w:rPr>
      </w:pPr>
    </w:p>
    <w:p>
      <w:pPr>
        <w:keepNext w:val="0"/>
        <w:keepLines w:val="0"/>
        <w:pageBreakBefore w:val="0"/>
        <w:widowControl w:val="0"/>
        <w:kinsoku/>
        <w:wordWrap/>
        <w:overflowPunct w:val="0"/>
        <w:topLinePunct w:val="0"/>
        <w:autoSpaceDE w:val="0"/>
        <w:autoSpaceDN w:val="0"/>
        <w:bidi w:val="0"/>
        <w:adjustRightInd/>
        <w:snapToGrid/>
        <w:spacing w:line="592" w:lineRule="exact"/>
        <w:jc w:val="center"/>
        <w:textAlignment w:val="auto"/>
        <w:rPr>
          <w:rFonts w:hint="eastAsia" w:ascii="Times New Roman" w:hAnsi="Times New Roman" w:eastAsia="方正大标宋简体" w:cs="方正大标宋简体"/>
          <w:snapToGrid w:val="0"/>
          <w:color w:val="000000"/>
          <w:spacing w:val="0"/>
          <w:kern w:val="0"/>
          <w:sz w:val="44"/>
          <w:szCs w:val="44"/>
          <w:lang w:val="en-US" w:eastAsia="zh-CN"/>
        </w:rPr>
      </w:pPr>
      <w:r>
        <w:rPr>
          <w:rFonts w:hint="eastAsia" w:ascii="Times New Roman" w:hAnsi="Times New Roman" w:eastAsia="方正大标宋简体" w:cs="方正大标宋简体"/>
          <w:snapToGrid w:val="0"/>
          <w:color w:val="000000"/>
          <w:spacing w:val="0"/>
          <w:kern w:val="0"/>
          <w:sz w:val="44"/>
          <w:szCs w:val="44"/>
          <w:lang w:val="en-US" w:eastAsia="zh-CN"/>
        </w:rPr>
        <w:t>大通湖区农村产权流转交易市场建设工作</w:t>
      </w:r>
    </w:p>
    <w:p>
      <w:pPr>
        <w:keepNext w:val="0"/>
        <w:keepLines w:val="0"/>
        <w:pageBreakBefore w:val="0"/>
        <w:widowControl w:val="0"/>
        <w:kinsoku/>
        <w:wordWrap/>
        <w:overflowPunct w:val="0"/>
        <w:topLinePunct w:val="0"/>
        <w:autoSpaceDE w:val="0"/>
        <w:autoSpaceDN w:val="0"/>
        <w:bidi w:val="0"/>
        <w:adjustRightInd/>
        <w:snapToGrid/>
        <w:spacing w:line="592" w:lineRule="exact"/>
        <w:jc w:val="center"/>
        <w:textAlignment w:val="auto"/>
        <w:rPr>
          <w:rFonts w:hint="eastAsia" w:ascii="Times New Roman" w:hAnsi="Times New Roman" w:eastAsia="方正大标宋简体" w:cs="方正大标宋简体"/>
          <w:snapToGrid w:val="0"/>
          <w:color w:val="000000"/>
          <w:spacing w:val="0"/>
          <w:kern w:val="0"/>
          <w:sz w:val="44"/>
          <w:szCs w:val="44"/>
          <w:lang w:val="en-US" w:eastAsia="zh-CN"/>
        </w:rPr>
      </w:pPr>
      <w:r>
        <w:rPr>
          <w:rFonts w:hint="eastAsia" w:ascii="Times New Roman" w:hAnsi="Times New Roman" w:eastAsia="方正大标宋简体" w:cs="方正大标宋简体"/>
          <w:snapToGrid w:val="0"/>
          <w:color w:val="000000"/>
          <w:spacing w:val="0"/>
          <w:kern w:val="0"/>
          <w:sz w:val="44"/>
          <w:szCs w:val="44"/>
          <w:lang w:val="en-US" w:eastAsia="zh-CN"/>
        </w:rPr>
        <w:t>实</w:t>
      </w:r>
      <w:r>
        <w:rPr>
          <w:rFonts w:hint="eastAsia" w:eastAsia="方正大标宋简体" w:cs="方正大标宋简体"/>
          <w:snapToGrid w:val="0"/>
          <w:color w:val="000000"/>
          <w:spacing w:val="0"/>
          <w:kern w:val="0"/>
          <w:sz w:val="44"/>
          <w:szCs w:val="44"/>
          <w:lang w:val="en-US" w:eastAsia="zh-CN"/>
        </w:rPr>
        <w:t xml:space="preserve"> </w:t>
      </w:r>
      <w:r>
        <w:rPr>
          <w:rFonts w:hint="eastAsia" w:ascii="Times New Roman" w:hAnsi="Times New Roman" w:eastAsia="方正大标宋简体" w:cs="方正大标宋简体"/>
          <w:snapToGrid w:val="0"/>
          <w:color w:val="000000"/>
          <w:spacing w:val="0"/>
          <w:kern w:val="0"/>
          <w:sz w:val="44"/>
          <w:szCs w:val="44"/>
          <w:lang w:val="en-US" w:eastAsia="zh-CN"/>
        </w:rPr>
        <w:t>施</w:t>
      </w:r>
      <w:r>
        <w:rPr>
          <w:rFonts w:hint="eastAsia" w:eastAsia="方正大标宋简体" w:cs="方正大标宋简体"/>
          <w:snapToGrid w:val="0"/>
          <w:color w:val="000000"/>
          <w:spacing w:val="0"/>
          <w:kern w:val="0"/>
          <w:sz w:val="44"/>
          <w:szCs w:val="44"/>
          <w:lang w:val="en-US" w:eastAsia="zh-CN"/>
        </w:rPr>
        <w:t xml:space="preserve"> </w:t>
      </w:r>
      <w:r>
        <w:rPr>
          <w:rFonts w:hint="eastAsia" w:ascii="Times New Roman" w:hAnsi="Times New Roman" w:eastAsia="方正大标宋简体" w:cs="方正大标宋简体"/>
          <w:snapToGrid w:val="0"/>
          <w:color w:val="000000"/>
          <w:spacing w:val="0"/>
          <w:kern w:val="0"/>
          <w:sz w:val="44"/>
          <w:szCs w:val="44"/>
          <w:lang w:val="en-US" w:eastAsia="zh-CN"/>
        </w:rPr>
        <w:t>方</w:t>
      </w:r>
      <w:r>
        <w:rPr>
          <w:rFonts w:hint="eastAsia" w:eastAsia="方正大标宋简体" w:cs="方正大标宋简体"/>
          <w:snapToGrid w:val="0"/>
          <w:color w:val="000000"/>
          <w:spacing w:val="0"/>
          <w:kern w:val="0"/>
          <w:sz w:val="44"/>
          <w:szCs w:val="44"/>
          <w:lang w:val="en-US" w:eastAsia="zh-CN"/>
        </w:rPr>
        <w:t xml:space="preserve"> </w:t>
      </w:r>
      <w:r>
        <w:rPr>
          <w:rFonts w:hint="eastAsia" w:ascii="Times New Roman" w:hAnsi="Times New Roman" w:eastAsia="方正大标宋简体" w:cs="方正大标宋简体"/>
          <w:snapToGrid w:val="0"/>
          <w:color w:val="000000"/>
          <w:spacing w:val="0"/>
          <w:kern w:val="0"/>
          <w:sz w:val="44"/>
          <w:szCs w:val="44"/>
          <w:lang w:val="en-US" w:eastAsia="zh-CN"/>
        </w:rPr>
        <w:t>案</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黑体" w:cs="Times New Roman"/>
          <w:snapToGrid w:val="0"/>
          <w:color w:val="000000"/>
          <w:spacing w:val="0"/>
          <w:kern w:val="0"/>
          <w:sz w:val="32"/>
          <w:szCs w:val="32"/>
        </w:rPr>
      </w:pPr>
      <w:r>
        <w:rPr>
          <w:rFonts w:hint="eastAsia" w:ascii="Times New Roman" w:hAnsi="Times New Roman" w:eastAsia="黑体" w:cs="黑体"/>
          <w:snapToGrid w:val="0"/>
          <w:color w:val="000000"/>
          <w:spacing w:val="0"/>
          <w:kern w:val="0"/>
          <w:sz w:val="32"/>
          <w:szCs w:val="32"/>
          <w:lang w:eastAsia="zh-CN"/>
        </w:rPr>
        <w:t>一</w:t>
      </w:r>
      <w:r>
        <w:rPr>
          <w:rFonts w:hint="eastAsia" w:ascii="Times New Roman" w:hAnsi="Times New Roman" w:eastAsia="黑体" w:cs="黑体"/>
          <w:snapToGrid w:val="0"/>
          <w:color w:val="000000"/>
          <w:spacing w:val="0"/>
          <w:kern w:val="0"/>
          <w:sz w:val="32"/>
          <w:szCs w:val="32"/>
        </w:rPr>
        <w:t>、</w:t>
      </w:r>
      <w:r>
        <w:rPr>
          <w:rFonts w:hint="eastAsia" w:ascii="Times New Roman" w:hAnsi="Times New Roman" w:eastAsia="黑体" w:cs="Times New Roman"/>
          <w:snapToGrid w:val="0"/>
          <w:color w:val="000000"/>
          <w:spacing w:val="0"/>
          <w:kern w:val="0"/>
          <w:sz w:val="32"/>
          <w:szCs w:val="32"/>
        </w:rPr>
        <w:t>建设模式</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楷体_GB2312" w:cs="楷体_GB2312"/>
          <w:b w:val="0"/>
          <w:bCs w:val="0"/>
          <w:snapToGrid w:val="0"/>
          <w:color w:val="000000"/>
          <w:spacing w:val="0"/>
          <w:kern w:val="0"/>
          <w:sz w:val="32"/>
          <w:szCs w:val="32"/>
          <w:lang w:val="en-US" w:eastAsia="zh-CN"/>
        </w:rPr>
      </w:pPr>
      <w:r>
        <w:rPr>
          <w:rFonts w:hint="eastAsia" w:ascii="Times New Roman" w:hAnsi="Times New Roman" w:eastAsia="楷体_GB2312" w:cs="楷体_GB2312"/>
          <w:b w:val="0"/>
          <w:bCs w:val="0"/>
          <w:snapToGrid w:val="0"/>
          <w:color w:val="000000"/>
          <w:spacing w:val="0"/>
          <w:kern w:val="0"/>
          <w:sz w:val="32"/>
          <w:szCs w:val="32"/>
          <w:lang w:val="en-US" w:eastAsia="zh-CN"/>
        </w:rPr>
        <w:t>（一）市区共建</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lang w:val="en-US" w:eastAsia="zh-CN" w:bidi="ar-SA"/>
        </w:rPr>
      </w:pPr>
      <w:r>
        <w:rPr>
          <w:rFonts w:hint="eastAsia" w:ascii="Times New Roman" w:hAnsi="Times New Roman" w:eastAsia="仿宋_GB2312" w:cs="仿宋_GB2312"/>
          <w:snapToGrid w:val="0"/>
          <w:color w:val="000000"/>
          <w:spacing w:val="0"/>
          <w:kern w:val="0"/>
          <w:sz w:val="32"/>
          <w:szCs w:val="32"/>
          <w:lang w:val="en-US" w:eastAsia="zh-CN" w:bidi="ar-SA"/>
        </w:rPr>
        <w:t>区管委会授权益阳市农村产权交易中心有限公司（以下简称“市农交公司”）负责本区农村产权交易中心的运营。区农村产权交易中心的运营遵循本区农村产权交易工作领导小组的监督与指导。</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楷体_GB2312" w:cs="楷体_GB2312"/>
          <w:b w:val="0"/>
          <w:bCs w:val="0"/>
          <w:snapToGrid w:val="0"/>
          <w:color w:val="000000"/>
          <w:spacing w:val="0"/>
          <w:kern w:val="0"/>
          <w:sz w:val="32"/>
          <w:szCs w:val="32"/>
          <w:lang w:val="en-US" w:eastAsia="zh-CN"/>
        </w:rPr>
      </w:pPr>
      <w:r>
        <w:rPr>
          <w:rFonts w:hint="eastAsia" w:ascii="Times New Roman" w:hAnsi="Times New Roman" w:eastAsia="楷体_GB2312" w:cs="楷体_GB2312"/>
          <w:b w:val="0"/>
          <w:bCs w:val="0"/>
          <w:snapToGrid w:val="0"/>
          <w:color w:val="000000"/>
          <w:spacing w:val="0"/>
          <w:kern w:val="0"/>
          <w:sz w:val="32"/>
          <w:szCs w:val="32"/>
          <w:lang w:val="en-US" w:eastAsia="zh-CN"/>
        </w:rPr>
        <w:t>（二）服务体系</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lang w:val="en-US" w:eastAsia="zh-CN" w:bidi="ar-SA"/>
        </w:rPr>
      </w:pPr>
      <w:r>
        <w:rPr>
          <w:rFonts w:hint="eastAsia" w:ascii="Times New Roman" w:hAnsi="Times New Roman" w:eastAsia="仿宋_GB2312" w:cs="仿宋_GB2312"/>
          <w:b/>
          <w:bCs/>
          <w:snapToGrid w:val="0"/>
          <w:color w:val="000000"/>
          <w:spacing w:val="0"/>
          <w:kern w:val="0"/>
          <w:sz w:val="32"/>
          <w:szCs w:val="32"/>
          <w:lang w:val="en-US" w:eastAsia="zh-CN" w:bidi="ar-SA"/>
        </w:rPr>
        <w:t>1. 区农村产权流转交易中心。</w:t>
      </w:r>
      <w:r>
        <w:rPr>
          <w:rFonts w:hint="eastAsia" w:ascii="Times New Roman" w:hAnsi="Times New Roman" w:eastAsia="仿宋_GB2312" w:cs="仿宋_GB2312"/>
          <w:snapToGrid w:val="0"/>
          <w:color w:val="000000"/>
          <w:spacing w:val="0"/>
          <w:kern w:val="0"/>
          <w:sz w:val="32"/>
          <w:szCs w:val="32"/>
          <w:lang w:val="en-US" w:eastAsia="zh-CN" w:bidi="ar-SA"/>
        </w:rPr>
        <w:t>由市农交公司负责大通湖区农村产权交易中心的运营，为全区农村产权流转提供政策咨询、信息发布、资料审查、交易组织、合同签订、价款结算、交易鉴证、资料管理、监督管理、培训指导等服务；通过信息共享等方式，核验交易标的权属、受让方资格、土地规划和用途等交易资料和信息，组织招标和采购项目预决算；为入场交易主体提供农村金融、农业社会化等服务；为镇农村产权流转交易服务站和村级农村产权流转交易服务室提供业务培训和指导服务。</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rPr>
      </w:pPr>
      <w:r>
        <w:rPr>
          <w:rFonts w:hint="eastAsia" w:ascii="Times New Roman" w:hAnsi="Times New Roman" w:eastAsia="仿宋_GB2312" w:cs="仿宋_GB2312"/>
          <w:b/>
          <w:bCs/>
          <w:snapToGrid w:val="0"/>
          <w:color w:val="000000"/>
          <w:spacing w:val="0"/>
          <w:kern w:val="0"/>
          <w:sz w:val="32"/>
          <w:szCs w:val="32"/>
          <w:lang w:val="en-US" w:eastAsia="zh-CN" w:bidi="ar-SA"/>
        </w:rPr>
        <w:t>2. 镇农村产权流转交易服务站。</w:t>
      </w:r>
      <w:r>
        <w:rPr>
          <w:rFonts w:hint="eastAsia" w:ascii="Times New Roman" w:hAnsi="Times New Roman" w:eastAsia="仿宋_GB2312" w:cs="仿宋_GB2312"/>
          <w:snapToGrid w:val="0"/>
          <w:color w:val="000000"/>
          <w:spacing w:val="0"/>
          <w:kern w:val="0"/>
          <w:sz w:val="32"/>
          <w:szCs w:val="32"/>
          <w:lang w:val="en-US" w:eastAsia="zh-CN" w:bidi="ar-SA"/>
        </w:rPr>
        <w:t>镇农村产权流转交易服务站依托农业综合服务中心设立，镇人民政府安排专人负责辖区农村产权流转交易基础资料和信息的收集汇总、查验审核、登记录入，组织进场交易，提供政策咨询，做好资料归档备案和纠纷调解等；指导各村设立村级农村产权流转交易服务室。</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highlight w:val="none"/>
        </w:rPr>
      </w:pPr>
      <w:r>
        <w:rPr>
          <w:rFonts w:hint="eastAsia" w:ascii="Times New Roman" w:hAnsi="Times New Roman" w:eastAsia="仿宋_GB2312" w:cs="仿宋_GB2312"/>
          <w:b/>
          <w:bCs/>
          <w:snapToGrid w:val="0"/>
          <w:color w:val="000000"/>
          <w:spacing w:val="0"/>
          <w:kern w:val="0"/>
          <w:sz w:val="32"/>
          <w:szCs w:val="32"/>
          <w:lang w:val="en-US" w:eastAsia="zh-CN" w:bidi="ar-SA"/>
        </w:rPr>
        <w:t>3. 村级农村产权流转交易服务室。</w:t>
      </w:r>
      <w:r>
        <w:rPr>
          <w:rFonts w:hint="eastAsia" w:ascii="Times New Roman" w:hAnsi="Times New Roman" w:eastAsia="仿宋_GB2312" w:cs="仿宋_GB2312"/>
          <w:snapToGrid w:val="0"/>
          <w:color w:val="000000"/>
          <w:spacing w:val="0"/>
          <w:kern w:val="0"/>
          <w:sz w:val="32"/>
          <w:szCs w:val="32"/>
          <w:highlight w:val="none"/>
        </w:rPr>
        <w:t>在村“两委”成员中明确农村产权流转交易信息员，负责农村产权流转交易项目信息的收集、上报及现场勘察、联系农户、宣传等配合工作。</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楷体_GB2312" w:cs="楷体_GB2312"/>
          <w:b w:val="0"/>
          <w:bCs w:val="0"/>
          <w:snapToGrid w:val="0"/>
          <w:color w:val="000000"/>
          <w:spacing w:val="0"/>
          <w:kern w:val="0"/>
          <w:sz w:val="32"/>
          <w:szCs w:val="32"/>
          <w:lang w:val="en-US" w:eastAsia="zh-CN"/>
        </w:rPr>
      </w:pPr>
      <w:r>
        <w:rPr>
          <w:rFonts w:hint="eastAsia" w:ascii="Times New Roman" w:hAnsi="Times New Roman" w:eastAsia="楷体_GB2312" w:cs="楷体_GB2312"/>
          <w:b w:val="0"/>
          <w:bCs w:val="0"/>
          <w:snapToGrid w:val="0"/>
          <w:color w:val="000000"/>
          <w:spacing w:val="0"/>
          <w:kern w:val="0"/>
          <w:sz w:val="32"/>
          <w:szCs w:val="32"/>
          <w:lang w:val="en-US" w:eastAsia="zh-CN"/>
        </w:rPr>
        <w:t>（三）服务规范</w:t>
      </w:r>
    </w:p>
    <w:p>
      <w:pPr>
        <w:keepNext w:val="0"/>
        <w:keepLines w:val="0"/>
        <w:pageBreakBefore w:val="0"/>
        <w:widowControl/>
        <w:kinsoku/>
        <w:wordWrap/>
        <w:overflowPunct/>
        <w:topLinePunct w:val="0"/>
        <w:autoSpaceDE/>
        <w:autoSpaceDN/>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snapToGrid w:val="0"/>
          <w:color w:val="000000"/>
          <w:spacing w:val="0"/>
          <w:kern w:val="0"/>
          <w:sz w:val="32"/>
          <w:szCs w:val="32"/>
          <w:highlight w:val="none"/>
          <w:lang w:val="en-US" w:eastAsia="zh-CN" w:bidi="ar-SA"/>
        </w:rPr>
        <w:t>按照《湖南省人民政府办公厅关于推进农村产权流转交易市场体系建设的指导意见》（湘政办发〔2022〕44号）、《</w:t>
      </w:r>
      <w:r>
        <w:rPr>
          <w:rFonts w:hint="eastAsia" w:ascii="Times New Roman" w:hAnsi="Times New Roman" w:eastAsia="仿宋_GB2312" w:cs="仿宋_GB2312"/>
          <w:i w:val="0"/>
          <w:iCs w:val="0"/>
          <w:caps w:val="0"/>
          <w:snapToGrid w:val="0"/>
          <w:color w:val="000000"/>
          <w:spacing w:val="0"/>
          <w:kern w:val="0"/>
          <w:sz w:val="32"/>
          <w:szCs w:val="32"/>
          <w:highlight w:val="none"/>
          <w:shd w:val="clear" w:color="auto" w:fill="auto"/>
          <w:lang w:val="en-US" w:eastAsia="zh-CN" w:bidi="ar-SA"/>
        </w:rPr>
        <w:t>益阳市人民政府办公室关于印发&lt;益阳市农村产权流转交易市场体系建设实施方案&gt;的通知</w:t>
      </w:r>
      <w:r>
        <w:rPr>
          <w:rFonts w:hint="eastAsia" w:ascii="Times New Roman" w:hAnsi="Times New Roman" w:eastAsia="仿宋_GB2312" w:cs="仿宋_GB2312"/>
          <w:snapToGrid w:val="0"/>
          <w:color w:val="000000"/>
          <w:spacing w:val="0"/>
          <w:kern w:val="0"/>
          <w:sz w:val="32"/>
          <w:szCs w:val="32"/>
          <w:highlight w:val="none"/>
          <w:lang w:val="en-US" w:eastAsia="zh-CN" w:bidi="ar-SA"/>
        </w:rPr>
        <w:t>》（益政办发〔2024〕13号）明确的交易品种、方式、主体、程序，实施农村产权流转交易。各交易品种和交易方式细则按全市一体化运营原则，按照市级中心文件要求执行。</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楷体_GB2312" w:cs="楷体_GB2312"/>
          <w:b w:val="0"/>
          <w:bCs w:val="0"/>
          <w:snapToGrid w:val="0"/>
          <w:color w:val="000000"/>
          <w:spacing w:val="0"/>
          <w:kern w:val="0"/>
          <w:sz w:val="32"/>
          <w:szCs w:val="32"/>
          <w:lang w:val="en-US" w:eastAsia="zh-CN"/>
        </w:rPr>
      </w:pPr>
      <w:r>
        <w:rPr>
          <w:rFonts w:hint="eastAsia" w:ascii="Times New Roman" w:hAnsi="Times New Roman" w:eastAsia="楷体_GB2312" w:cs="楷体_GB2312"/>
          <w:b w:val="0"/>
          <w:bCs w:val="0"/>
          <w:snapToGrid w:val="0"/>
          <w:color w:val="000000"/>
          <w:spacing w:val="0"/>
          <w:kern w:val="0"/>
          <w:sz w:val="32"/>
          <w:szCs w:val="32"/>
          <w:lang w:val="en-US" w:eastAsia="zh-CN"/>
        </w:rPr>
        <w:t>（四）进场要求</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snapToGrid w:val="0"/>
          <w:color w:val="000000"/>
          <w:spacing w:val="0"/>
          <w:kern w:val="0"/>
          <w:sz w:val="32"/>
          <w:szCs w:val="32"/>
          <w:highlight w:val="none"/>
          <w:lang w:val="en-US" w:eastAsia="zh-CN" w:bidi="ar-SA"/>
        </w:rPr>
        <w:t>本着“先易后难、先少后多、逐步增加”的原则，先行落实国有农用地、农村资产资源流转全部进场交易，逐步增加进场流转交易的品种及数量，最终覆盖全部农村资产、资源等所有农村产权。</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黑体" w:cs="黑体"/>
          <w:snapToGrid w:val="0"/>
          <w:color w:val="000000"/>
          <w:spacing w:val="0"/>
          <w:kern w:val="0"/>
          <w:sz w:val="32"/>
          <w:szCs w:val="32"/>
          <w:highlight w:val="none"/>
        </w:rPr>
      </w:pPr>
      <w:r>
        <w:rPr>
          <w:rFonts w:hint="eastAsia" w:ascii="Times New Roman" w:hAnsi="Times New Roman" w:eastAsia="黑体" w:cs="黑体"/>
          <w:snapToGrid w:val="0"/>
          <w:color w:val="000000"/>
          <w:spacing w:val="0"/>
          <w:kern w:val="0"/>
          <w:sz w:val="32"/>
          <w:szCs w:val="32"/>
          <w:highlight w:val="none"/>
          <w:lang w:val="en-US" w:eastAsia="zh-CN"/>
        </w:rPr>
        <w:t>二</w:t>
      </w:r>
      <w:r>
        <w:rPr>
          <w:rFonts w:hint="eastAsia" w:ascii="Times New Roman" w:hAnsi="Times New Roman" w:eastAsia="黑体" w:cs="黑体"/>
          <w:snapToGrid w:val="0"/>
          <w:color w:val="000000"/>
          <w:spacing w:val="0"/>
          <w:kern w:val="0"/>
          <w:sz w:val="32"/>
          <w:szCs w:val="32"/>
          <w:highlight w:val="none"/>
        </w:rPr>
        <w:t>、建设投入</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rPr>
      </w:pPr>
      <w:r>
        <w:rPr>
          <w:rFonts w:hint="eastAsia" w:ascii="Times New Roman" w:hAnsi="Times New Roman" w:eastAsia="楷体_GB2312" w:cs="楷体_GB2312"/>
          <w:b w:val="0"/>
          <w:bCs w:val="0"/>
          <w:snapToGrid w:val="0"/>
          <w:color w:val="000000"/>
          <w:spacing w:val="0"/>
          <w:kern w:val="0"/>
          <w:sz w:val="32"/>
          <w:szCs w:val="32"/>
          <w:lang w:val="en-US" w:eastAsia="zh-CN"/>
        </w:rPr>
        <w:t>（一）系统平台。</w:t>
      </w:r>
      <w:r>
        <w:rPr>
          <w:rFonts w:hint="eastAsia" w:ascii="Times New Roman" w:hAnsi="Times New Roman" w:eastAsia="仿宋_GB2312" w:cs="仿宋_GB2312"/>
          <w:snapToGrid w:val="0"/>
          <w:color w:val="000000"/>
          <w:spacing w:val="0"/>
          <w:kern w:val="0"/>
          <w:sz w:val="32"/>
          <w:szCs w:val="32"/>
          <w:highlight w:val="none"/>
          <w:lang w:val="en-US" w:eastAsia="zh-CN" w:bidi="ar-SA"/>
        </w:rPr>
        <w:t>由市农交公司负责搭建本区农村产权流转交易服务与监管系统平台，并根据各主管部门监管需求开通管理权限。</w:t>
      </w:r>
    </w:p>
    <w:p>
      <w:pPr>
        <w:keepNext w:val="0"/>
        <w:keepLines w:val="0"/>
        <w:pageBreakBefore w:val="0"/>
        <w:widowControl w:val="0"/>
        <w:kinsoku/>
        <w:wordWrap/>
        <w:overflowPunct w:val="0"/>
        <w:topLinePunct w:val="0"/>
        <w:autoSpaceDE w:val="0"/>
        <w:autoSpaceDN w:val="0"/>
        <w:bidi w:val="0"/>
        <w:adjustRightInd/>
        <w:snapToGrid/>
        <w:spacing w:line="620"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eastAsia="zh-CN"/>
        </w:rPr>
      </w:pPr>
      <w:r>
        <w:rPr>
          <w:rFonts w:hint="eastAsia" w:ascii="Times New Roman" w:hAnsi="Times New Roman" w:eastAsia="楷体_GB2312" w:cs="楷体_GB2312"/>
          <w:b w:val="0"/>
          <w:bCs w:val="0"/>
          <w:snapToGrid w:val="0"/>
          <w:color w:val="000000"/>
          <w:spacing w:val="0"/>
          <w:kern w:val="0"/>
          <w:sz w:val="32"/>
          <w:szCs w:val="32"/>
          <w:lang w:val="en-US" w:eastAsia="zh-CN"/>
        </w:rPr>
        <w:t>（二）办公场所、硬件设施。</w:t>
      </w:r>
      <w:r>
        <w:rPr>
          <w:rFonts w:hint="eastAsia" w:ascii="Times New Roman" w:hAnsi="Times New Roman" w:eastAsia="仿宋_GB2312" w:cs="仿宋_GB2312"/>
          <w:snapToGrid w:val="0"/>
          <w:color w:val="000000"/>
          <w:spacing w:val="0"/>
          <w:kern w:val="0"/>
          <w:sz w:val="32"/>
          <w:szCs w:val="32"/>
          <w:highlight w:val="none"/>
          <w:lang w:val="en-US" w:eastAsia="zh-CN" w:bidi="ar-SA"/>
        </w:rPr>
        <w:t>益阳市大通湖区盈泰农业发展集团有限公司根据区农村产权交易中心办公需求，提供办公场地及所需的基本硬件设施，所有权归提供方。（主要包括交易大厅、洽谈室、办公室、档案室、会议室等，需购置电子显示屏、办公桌椅、电脑、打印机等）</w:t>
      </w:r>
    </w:p>
    <w:p>
      <w:pPr>
        <w:keepNext w:val="0"/>
        <w:keepLines w:val="0"/>
        <w:pageBreakBefore w:val="0"/>
        <w:widowControl w:val="0"/>
        <w:kinsoku/>
        <w:wordWrap/>
        <w:overflowPunct w:val="0"/>
        <w:topLinePunct w:val="0"/>
        <w:autoSpaceDE w:val="0"/>
        <w:autoSpaceDN w:val="0"/>
        <w:bidi w:val="0"/>
        <w:adjustRightInd/>
        <w:snapToGrid/>
        <w:spacing w:line="620"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rPr>
      </w:pPr>
      <w:r>
        <w:rPr>
          <w:rFonts w:hint="eastAsia" w:ascii="Times New Roman" w:hAnsi="Times New Roman" w:eastAsia="楷体_GB2312" w:cs="楷体_GB2312"/>
          <w:b w:val="0"/>
          <w:bCs w:val="0"/>
          <w:snapToGrid w:val="0"/>
          <w:color w:val="000000"/>
          <w:spacing w:val="0"/>
          <w:kern w:val="0"/>
          <w:sz w:val="32"/>
          <w:szCs w:val="32"/>
          <w:lang w:val="en-US" w:eastAsia="zh-CN"/>
        </w:rPr>
        <w:t>（三）经费保障。</w:t>
      </w:r>
      <w:r>
        <w:rPr>
          <w:rFonts w:hint="eastAsia" w:ascii="Times New Roman" w:hAnsi="Times New Roman" w:eastAsia="仿宋_GB2312" w:cs="仿宋_GB2312"/>
          <w:snapToGrid w:val="0"/>
          <w:color w:val="000000"/>
          <w:spacing w:val="0"/>
          <w:kern w:val="0"/>
          <w:sz w:val="32"/>
          <w:szCs w:val="32"/>
          <w:highlight w:val="none"/>
          <w:lang w:val="en-US" w:eastAsia="zh-CN" w:bidi="ar-SA"/>
        </w:rPr>
        <w:t>市农交公司负责组建区农村产权交易中心运营团队并承担所有运营费用。由于农村产权交易肩负部分公益属性，在成立初期，全市交易市场处于规范性宣传起步阶段，并对农民、村集体等转让方免费，难以实现盈亏平衡。为确保全市农村产权交易市场快速发展及平稳经营，运营前三年，大通湖区管委会每年协调20万元资金作为大通湖区农村产权交易中心运营补贴，补贴金额发放依据中心实际经营情况，若中心年度亏损大于20万元，按20万元补贴；亏损金额小于20万元，按实际亏损金额补贴。</w:t>
      </w:r>
    </w:p>
    <w:p>
      <w:pPr>
        <w:keepNext w:val="0"/>
        <w:keepLines w:val="0"/>
        <w:pageBreakBefore w:val="0"/>
        <w:widowControl w:val="0"/>
        <w:kinsoku/>
        <w:wordWrap/>
        <w:overflowPunct w:val="0"/>
        <w:topLinePunct w:val="0"/>
        <w:autoSpaceDE w:val="0"/>
        <w:autoSpaceDN w:val="0"/>
        <w:bidi w:val="0"/>
        <w:adjustRightInd/>
        <w:snapToGrid/>
        <w:spacing w:line="620" w:lineRule="exact"/>
        <w:ind w:firstLine="640" w:firstLineChars="200"/>
        <w:jc w:val="both"/>
        <w:textAlignment w:val="auto"/>
        <w:rPr>
          <w:rFonts w:hint="eastAsia" w:ascii="Times New Roman" w:hAnsi="Times New Roman" w:eastAsia="黑体" w:cs="黑体"/>
          <w:snapToGrid w:val="0"/>
          <w:color w:val="000000"/>
          <w:spacing w:val="0"/>
          <w:kern w:val="0"/>
          <w:sz w:val="32"/>
          <w:szCs w:val="32"/>
          <w:highlight w:val="none"/>
        </w:rPr>
      </w:pPr>
      <w:r>
        <w:rPr>
          <w:rFonts w:hint="eastAsia" w:ascii="Times New Roman" w:hAnsi="Times New Roman" w:eastAsia="黑体" w:cs="黑体"/>
          <w:snapToGrid w:val="0"/>
          <w:color w:val="000000"/>
          <w:spacing w:val="0"/>
          <w:kern w:val="0"/>
          <w:sz w:val="32"/>
          <w:szCs w:val="32"/>
          <w:highlight w:val="none"/>
          <w:lang w:val="en-US" w:eastAsia="zh-CN"/>
        </w:rPr>
        <w:t>三</w:t>
      </w:r>
      <w:r>
        <w:rPr>
          <w:rFonts w:hint="eastAsia" w:ascii="Times New Roman" w:hAnsi="Times New Roman" w:eastAsia="黑体" w:cs="黑体"/>
          <w:snapToGrid w:val="0"/>
          <w:color w:val="000000"/>
          <w:spacing w:val="0"/>
          <w:kern w:val="0"/>
          <w:sz w:val="32"/>
          <w:szCs w:val="32"/>
          <w:highlight w:val="none"/>
        </w:rPr>
        <w:t>、进度安排</w:t>
      </w:r>
    </w:p>
    <w:p>
      <w:pPr>
        <w:keepNext w:val="0"/>
        <w:keepLines w:val="0"/>
        <w:pageBreakBefore w:val="0"/>
        <w:widowControl w:val="0"/>
        <w:kinsoku/>
        <w:wordWrap/>
        <w:overflowPunct w:val="0"/>
        <w:topLinePunct w:val="0"/>
        <w:autoSpaceDE w:val="0"/>
        <w:autoSpaceDN w:val="0"/>
        <w:bidi w:val="0"/>
        <w:adjustRightInd/>
        <w:snapToGrid/>
        <w:spacing w:line="620"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rPr>
      </w:pPr>
      <w:r>
        <w:rPr>
          <w:rFonts w:hint="eastAsia" w:ascii="Times New Roman" w:hAnsi="Times New Roman" w:eastAsia="仿宋_GB2312" w:cs="仿宋_GB2312"/>
          <w:b w:val="0"/>
          <w:bCs w:val="0"/>
          <w:snapToGrid w:val="0"/>
          <w:color w:val="000000"/>
          <w:spacing w:val="0"/>
          <w:kern w:val="0"/>
          <w:sz w:val="32"/>
          <w:szCs w:val="32"/>
          <w:highlight w:val="none"/>
          <w:lang w:val="en-US" w:eastAsia="zh-CN"/>
        </w:rPr>
        <w:t>2026年1月1日起，</w:t>
      </w:r>
      <w:r>
        <w:rPr>
          <w:rFonts w:hint="eastAsia" w:ascii="Times New Roman" w:hAnsi="Times New Roman" w:eastAsia="仿宋_GB2312" w:cs="仿宋_GB2312"/>
          <w:snapToGrid w:val="0"/>
          <w:color w:val="000000"/>
          <w:spacing w:val="0"/>
          <w:kern w:val="0"/>
          <w:sz w:val="32"/>
          <w:szCs w:val="32"/>
          <w:highlight w:val="none"/>
          <w:lang w:val="en-US" w:eastAsia="zh-CN" w:bidi="ar-SA"/>
        </w:rPr>
        <w:t>全面开展农村产权流转交易，探索农村金融服务，不断完善交易管理机制，重点在宣传推广、业务培训、推动整村流转方面发力，促使交易信息发布量显著提升，农村产权流转交易市场更加活跃，交易品种不断增加，交易体量大幅增长，交易半径范围不断扩大，跨区域交易数额获得突破。</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黑体" w:cs="黑体"/>
          <w:snapToGrid w:val="0"/>
          <w:color w:val="000000"/>
          <w:spacing w:val="0"/>
          <w:kern w:val="0"/>
          <w:sz w:val="32"/>
          <w:szCs w:val="32"/>
          <w:highlight w:val="none"/>
        </w:rPr>
      </w:pPr>
      <w:r>
        <w:rPr>
          <w:rFonts w:hint="eastAsia" w:ascii="Times New Roman" w:hAnsi="Times New Roman" w:eastAsia="黑体" w:cs="黑体"/>
          <w:snapToGrid w:val="0"/>
          <w:color w:val="000000"/>
          <w:spacing w:val="0"/>
          <w:kern w:val="0"/>
          <w:sz w:val="32"/>
          <w:szCs w:val="32"/>
          <w:highlight w:val="none"/>
          <w:lang w:val="en-US" w:eastAsia="zh-CN"/>
        </w:rPr>
        <w:t>四</w:t>
      </w:r>
      <w:r>
        <w:rPr>
          <w:rFonts w:hint="eastAsia" w:ascii="Times New Roman" w:hAnsi="Times New Roman" w:eastAsia="黑体" w:cs="黑体"/>
          <w:snapToGrid w:val="0"/>
          <w:color w:val="000000"/>
          <w:spacing w:val="0"/>
          <w:kern w:val="0"/>
          <w:sz w:val="32"/>
          <w:szCs w:val="32"/>
          <w:highlight w:val="none"/>
        </w:rPr>
        <w:t>、保障措施</w:t>
      </w:r>
    </w:p>
    <w:p>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楷体_GB2312" w:cs="楷体_GB2312"/>
          <w:b w:val="0"/>
          <w:bCs w:val="0"/>
          <w:snapToGrid w:val="0"/>
          <w:color w:val="000000"/>
          <w:spacing w:val="0"/>
          <w:kern w:val="0"/>
          <w:sz w:val="32"/>
          <w:szCs w:val="32"/>
          <w:lang w:val="en-US" w:eastAsia="zh-CN"/>
        </w:rPr>
        <w:t>（一）加强组织领导。</w:t>
      </w:r>
      <w:r>
        <w:rPr>
          <w:rFonts w:hint="eastAsia" w:ascii="Times New Roman" w:hAnsi="Times New Roman" w:eastAsia="仿宋_GB2312" w:cs="仿宋_GB2312"/>
          <w:snapToGrid w:val="0"/>
          <w:color w:val="000000"/>
          <w:spacing w:val="0"/>
          <w:kern w:val="0"/>
          <w:sz w:val="32"/>
          <w:szCs w:val="32"/>
          <w:highlight w:val="none"/>
          <w:lang w:val="en-US" w:eastAsia="zh-CN" w:bidi="ar-SA"/>
        </w:rPr>
        <w:t>成立大通湖区农村产权交易工作专班，负责本区农村产权流转交易工作指导和监管，制定完善的议事规则、监管程序及支持政策。工作专班由区委区管委会办公室联系农业农村工作的副主任任组长，区农业农村水利局局长、区大发集团董事长任副组长，区纪委区监察工委、区财政局、区自然资源局、区商务文旅广体局、区卫健市监局、区农业农村水利局、区司法局、区大发集团为成员单位。工作专班办公室设在区盈泰农业发展集团有限公司，负责区农村产权交易工作日常工作，区盈泰农业发展集团有限公司负责人兼任办公室主任。</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b/>
          <w:bCs/>
          <w:snapToGrid w:val="0"/>
          <w:color w:val="000000"/>
          <w:spacing w:val="0"/>
          <w:kern w:val="0"/>
          <w:sz w:val="32"/>
          <w:szCs w:val="32"/>
          <w:highlight w:val="none"/>
          <w:lang w:val="en-US" w:eastAsia="zh-CN" w:bidi="ar-SA"/>
        </w:rPr>
        <w:t>区纪委区监察工委：</w:t>
      </w:r>
      <w:r>
        <w:rPr>
          <w:rFonts w:hint="eastAsia" w:ascii="Times New Roman" w:hAnsi="Times New Roman" w:eastAsia="仿宋_GB2312" w:cs="仿宋_GB2312"/>
          <w:snapToGrid w:val="0"/>
          <w:color w:val="000000"/>
          <w:spacing w:val="0"/>
          <w:kern w:val="0"/>
          <w:sz w:val="32"/>
          <w:szCs w:val="32"/>
          <w:highlight w:val="none"/>
          <w:lang w:val="en-US" w:eastAsia="zh-CN" w:bidi="ar-SA"/>
        </w:rPr>
        <w:t>负责强化纪律约束和过程监督，保障农村产权交易合法合规，对农村产权交易中涉及的党员干部和所有行使公权力的公职人员进行纪律监督和监察监督，防范基层“微腐败”，推动农村产权制度改革健康发展。</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b/>
          <w:bCs/>
          <w:snapToGrid w:val="0"/>
          <w:color w:val="000000"/>
          <w:spacing w:val="0"/>
          <w:kern w:val="0"/>
          <w:sz w:val="32"/>
          <w:szCs w:val="32"/>
          <w:highlight w:val="none"/>
          <w:lang w:val="en-US" w:eastAsia="zh-CN" w:bidi="ar-SA"/>
        </w:rPr>
        <w:t>区财政局：</w:t>
      </w:r>
      <w:r>
        <w:rPr>
          <w:rFonts w:hint="eastAsia" w:ascii="Times New Roman" w:hAnsi="Times New Roman" w:eastAsia="仿宋_GB2312" w:cs="仿宋_GB2312"/>
          <w:snapToGrid w:val="0"/>
          <w:color w:val="000000"/>
          <w:spacing w:val="0"/>
          <w:kern w:val="0"/>
          <w:sz w:val="32"/>
          <w:szCs w:val="32"/>
          <w:highlight w:val="none"/>
          <w:lang w:val="en-US" w:eastAsia="zh-CN" w:bidi="ar-SA"/>
        </w:rPr>
        <w:t>落实农村产权流转交易市场体系建设的财政支持政策等相关工作。</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b/>
          <w:bCs/>
          <w:snapToGrid w:val="0"/>
          <w:color w:val="000000"/>
          <w:spacing w:val="0"/>
          <w:kern w:val="0"/>
          <w:sz w:val="32"/>
          <w:szCs w:val="32"/>
          <w:highlight w:val="none"/>
          <w:lang w:val="en-US" w:eastAsia="zh-CN" w:bidi="ar-SA"/>
        </w:rPr>
        <w:t>区自然资源局：</w:t>
      </w:r>
      <w:r>
        <w:rPr>
          <w:rFonts w:hint="eastAsia" w:ascii="Times New Roman" w:hAnsi="Times New Roman" w:eastAsia="仿宋_GB2312" w:cs="仿宋_GB2312"/>
          <w:snapToGrid w:val="0"/>
          <w:color w:val="000000"/>
          <w:spacing w:val="0"/>
          <w:kern w:val="0"/>
          <w:szCs w:val="32"/>
          <w:highlight w:val="none"/>
        </w:rPr>
        <w:t>指导和监督林地经营权和林木所有权、使用权入市交易等相关工作</w:t>
      </w:r>
      <w:r>
        <w:rPr>
          <w:rFonts w:hint="eastAsia" w:ascii="Times New Roman" w:hAnsi="Times New Roman" w:eastAsia="仿宋_GB2312" w:cs="仿宋_GB2312"/>
          <w:snapToGrid w:val="0"/>
          <w:color w:val="000000"/>
          <w:spacing w:val="0"/>
          <w:kern w:val="0"/>
          <w:sz w:val="32"/>
          <w:szCs w:val="32"/>
          <w:highlight w:val="none"/>
          <w:lang w:val="en-US" w:eastAsia="zh-CN" w:bidi="ar-SA"/>
        </w:rPr>
        <w:t>。</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Cs w:val="32"/>
          <w:highlight w:val="none"/>
        </w:rPr>
      </w:pPr>
      <w:r>
        <w:rPr>
          <w:rFonts w:hint="eastAsia" w:ascii="Times New Roman" w:hAnsi="Times New Roman" w:eastAsia="仿宋_GB2312" w:cs="仿宋_GB2312"/>
          <w:b/>
          <w:bCs/>
          <w:snapToGrid w:val="0"/>
          <w:color w:val="000000"/>
          <w:spacing w:val="0"/>
          <w:kern w:val="0"/>
          <w:sz w:val="32"/>
          <w:szCs w:val="32"/>
          <w:highlight w:val="none"/>
          <w:lang w:val="en-US" w:eastAsia="zh-CN" w:bidi="ar-SA"/>
        </w:rPr>
        <w:t>区商务文旅广体局：</w:t>
      </w:r>
      <w:r>
        <w:rPr>
          <w:rFonts w:hint="eastAsia" w:ascii="Times New Roman" w:hAnsi="Times New Roman" w:eastAsia="仿宋_GB2312" w:cs="仿宋_GB2312"/>
          <w:snapToGrid w:val="0"/>
          <w:color w:val="000000"/>
          <w:spacing w:val="0"/>
          <w:kern w:val="0"/>
          <w:szCs w:val="32"/>
          <w:highlight w:val="none"/>
          <w:lang w:val="en-US" w:eastAsia="zh-CN"/>
        </w:rPr>
        <w:t>协助</w:t>
      </w:r>
      <w:r>
        <w:rPr>
          <w:rFonts w:hint="eastAsia" w:ascii="Times New Roman" w:hAnsi="Times New Roman" w:eastAsia="仿宋_GB2312" w:cs="仿宋_GB2312"/>
          <w:snapToGrid w:val="0"/>
          <w:color w:val="000000"/>
          <w:spacing w:val="0"/>
          <w:kern w:val="0"/>
          <w:szCs w:val="32"/>
          <w:highlight w:val="none"/>
        </w:rPr>
        <w:t>拓展农业产业招商引资相关工作。</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b/>
          <w:bCs/>
          <w:snapToGrid w:val="0"/>
          <w:color w:val="000000"/>
          <w:spacing w:val="0"/>
          <w:kern w:val="0"/>
          <w:sz w:val="32"/>
          <w:szCs w:val="32"/>
          <w:highlight w:val="none"/>
          <w:lang w:val="en-US" w:eastAsia="zh-CN" w:bidi="ar-SA"/>
        </w:rPr>
        <w:t>区卫健市监局：</w:t>
      </w:r>
      <w:r>
        <w:rPr>
          <w:rFonts w:hint="eastAsia" w:ascii="Times New Roman" w:hAnsi="Times New Roman" w:eastAsia="仿宋_GB2312" w:cs="仿宋_GB2312"/>
          <w:snapToGrid w:val="0"/>
          <w:color w:val="000000"/>
          <w:spacing w:val="0"/>
          <w:kern w:val="0"/>
          <w:szCs w:val="32"/>
          <w:highlight w:val="none"/>
        </w:rPr>
        <w:t>负责指导农村产权流转交易服务收费监管等相关工作</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b/>
          <w:bCs/>
          <w:snapToGrid w:val="0"/>
          <w:color w:val="000000"/>
          <w:spacing w:val="0"/>
          <w:kern w:val="0"/>
          <w:sz w:val="32"/>
          <w:szCs w:val="32"/>
          <w:highlight w:val="none"/>
          <w:lang w:val="en-US" w:eastAsia="zh-CN" w:bidi="ar-SA"/>
        </w:rPr>
        <w:t>区农业农村水利局：</w:t>
      </w:r>
      <w:r>
        <w:rPr>
          <w:rFonts w:hint="eastAsia" w:ascii="Times New Roman" w:hAnsi="Times New Roman" w:eastAsia="仿宋_GB2312" w:cs="仿宋_GB2312"/>
          <w:snapToGrid w:val="0"/>
          <w:color w:val="000000"/>
          <w:spacing w:val="0"/>
          <w:kern w:val="0"/>
          <w:sz w:val="32"/>
          <w:szCs w:val="32"/>
          <w:highlight w:val="none"/>
          <w:lang w:val="en-US" w:eastAsia="zh-CN" w:bidi="ar-SA"/>
        </w:rPr>
        <w:t>牵头协调推进农村产权交易市场体系建设，负责农村产权流转交易业务指导和监督管理，指导和监</w:t>
      </w:r>
      <w:r>
        <w:rPr>
          <w:rFonts w:hint="eastAsia" w:ascii="Times New Roman" w:hAnsi="Times New Roman" w:eastAsia="仿宋_GB2312" w:cs="仿宋_GB2312"/>
          <w:snapToGrid w:val="0"/>
          <w:color w:val="000000"/>
          <w:spacing w:val="0"/>
          <w:kern w:val="0"/>
          <w:szCs w:val="32"/>
          <w:highlight w:val="none"/>
        </w:rPr>
        <w:t>督不涉及公共安全的小型水利设施和其他水面使用权入市交易等相关工作</w:t>
      </w:r>
      <w:r>
        <w:rPr>
          <w:rFonts w:hint="eastAsia" w:ascii="Times New Roman" w:hAnsi="Times New Roman" w:eastAsia="仿宋_GB2312" w:cs="仿宋_GB2312"/>
          <w:snapToGrid w:val="0"/>
          <w:color w:val="000000"/>
          <w:spacing w:val="0"/>
          <w:kern w:val="0"/>
          <w:sz w:val="32"/>
          <w:szCs w:val="32"/>
          <w:highlight w:val="none"/>
          <w:lang w:val="en-US" w:eastAsia="zh-CN" w:bidi="ar-SA"/>
        </w:rPr>
        <w:t>。</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b/>
          <w:bCs/>
          <w:snapToGrid w:val="0"/>
          <w:color w:val="000000"/>
          <w:spacing w:val="0"/>
          <w:kern w:val="0"/>
          <w:sz w:val="32"/>
          <w:szCs w:val="32"/>
          <w:highlight w:val="none"/>
          <w:lang w:val="en-US" w:eastAsia="zh-CN" w:bidi="ar-SA"/>
        </w:rPr>
        <w:t>区司法局：</w:t>
      </w:r>
      <w:r>
        <w:rPr>
          <w:rFonts w:hint="eastAsia" w:ascii="Times New Roman" w:hAnsi="Times New Roman" w:eastAsia="仿宋_GB2312" w:cs="仿宋_GB2312"/>
          <w:snapToGrid w:val="0"/>
          <w:color w:val="000000"/>
          <w:spacing w:val="0"/>
          <w:kern w:val="0"/>
          <w:sz w:val="32"/>
          <w:szCs w:val="32"/>
          <w:highlight w:val="none"/>
          <w:lang w:val="en-US" w:eastAsia="zh-CN" w:bidi="ar-SA"/>
        </w:rPr>
        <w:t>负责对区农村产权流转交易的相关行政规范性文件进行合法性审查，并对农村产权流转交易提供法律咨询和服务。</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3" w:firstLineChars="200"/>
        <w:jc w:val="both"/>
        <w:textAlignment w:val="auto"/>
        <w:rPr>
          <w:rFonts w:hint="default"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仿宋_GB2312" w:cs="仿宋_GB2312"/>
          <w:b/>
          <w:bCs/>
          <w:snapToGrid w:val="0"/>
          <w:color w:val="000000"/>
          <w:spacing w:val="0"/>
          <w:kern w:val="0"/>
          <w:sz w:val="32"/>
          <w:szCs w:val="32"/>
          <w:highlight w:val="none"/>
          <w:lang w:val="en-US" w:eastAsia="zh-CN" w:bidi="ar-SA"/>
        </w:rPr>
        <w:t>区大发集团：</w:t>
      </w:r>
      <w:r>
        <w:rPr>
          <w:rFonts w:hint="eastAsia" w:ascii="Times New Roman" w:hAnsi="Times New Roman" w:eastAsia="仿宋_GB2312" w:cs="仿宋_GB2312"/>
          <w:snapToGrid w:val="0"/>
          <w:color w:val="000000"/>
          <w:spacing w:val="0"/>
          <w:kern w:val="0"/>
          <w:sz w:val="32"/>
          <w:szCs w:val="32"/>
          <w:highlight w:val="none"/>
          <w:lang w:val="en-US" w:eastAsia="zh-CN" w:bidi="ar-SA"/>
        </w:rPr>
        <w:t>制定农村产权流转交易管理办法和规范交易行为的相关文件，对其下属公司盈泰农业发展集团有限公司进行管理指导。</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 w:val="32"/>
          <w:szCs w:val="32"/>
          <w:highlight w:val="none"/>
          <w:lang w:val="en-US" w:eastAsia="zh-CN" w:bidi="ar-SA"/>
        </w:rPr>
      </w:pPr>
      <w:r>
        <w:rPr>
          <w:rFonts w:hint="eastAsia" w:ascii="Times New Roman" w:hAnsi="Times New Roman" w:eastAsia="楷体_GB2312" w:cs="楷体_GB2312"/>
          <w:b w:val="0"/>
          <w:bCs w:val="0"/>
          <w:snapToGrid w:val="0"/>
          <w:color w:val="000000"/>
          <w:spacing w:val="0"/>
          <w:kern w:val="0"/>
          <w:sz w:val="32"/>
          <w:szCs w:val="32"/>
          <w:highlight w:val="none"/>
          <w:lang w:val="en-US" w:eastAsia="zh-CN" w:bidi="ar-SA"/>
        </w:rPr>
        <w:t>（二）保障工作经费。</w:t>
      </w:r>
      <w:r>
        <w:rPr>
          <w:rFonts w:hint="eastAsia" w:ascii="Times New Roman" w:hAnsi="Times New Roman" w:eastAsia="仿宋_GB2312" w:cs="仿宋_GB2312"/>
          <w:snapToGrid w:val="0"/>
          <w:color w:val="000000"/>
          <w:spacing w:val="0"/>
          <w:kern w:val="0"/>
          <w:sz w:val="32"/>
          <w:szCs w:val="32"/>
          <w:highlight w:val="none"/>
          <w:lang w:val="en-US" w:eastAsia="zh-CN" w:bidi="ar-SA"/>
        </w:rPr>
        <w:t>区财政安排专项配套资金，主要用于农村产权交易工作专班进行交易市场的建设、宣传培训与下乡镇、村指导、工作协调、监督检查等。</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Cs w:val="32"/>
          <w:highlight w:val="none"/>
        </w:rPr>
      </w:pPr>
      <w:r>
        <w:rPr>
          <w:rFonts w:hint="eastAsia" w:ascii="Times New Roman" w:hAnsi="Times New Roman" w:eastAsia="楷体_GB2312" w:cs="楷体_GB2312"/>
          <w:b w:val="0"/>
          <w:bCs w:val="0"/>
          <w:snapToGrid w:val="0"/>
          <w:color w:val="000000"/>
          <w:spacing w:val="0"/>
          <w:kern w:val="0"/>
          <w:sz w:val="32"/>
          <w:szCs w:val="32"/>
          <w:highlight w:val="none"/>
          <w:lang w:val="en-US" w:eastAsia="zh-CN" w:bidi="ar-SA"/>
        </w:rPr>
        <w:t>（三）加强政策扶持。</w:t>
      </w:r>
      <w:r>
        <w:rPr>
          <w:rFonts w:hint="eastAsia" w:ascii="Times New Roman" w:hAnsi="Times New Roman" w:eastAsia="仿宋_GB2312" w:cs="仿宋_GB2312"/>
          <w:snapToGrid w:val="0"/>
          <w:color w:val="000000"/>
          <w:spacing w:val="0"/>
          <w:kern w:val="0"/>
          <w:szCs w:val="32"/>
          <w:highlight w:val="none"/>
        </w:rPr>
        <w:t>探索财政支农扶持政策与农村产权流转交易项目相挂钩的办法，对进入农村产权流转交易市场交易的项目，在进行财政扶持资金项目申报时优先给予支持</w:t>
      </w:r>
      <w:r>
        <w:rPr>
          <w:rFonts w:hint="eastAsia" w:ascii="Times New Roman" w:hAnsi="Times New Roman" w:eastAsia="仿宋_GB2312" w:cs="仿宋_GB2312"/>
          <w:snapToGrid w:val="0"/>
          <w:color w:val="000000"/>
          <w:spacing w:val="0"/>
          <w:kern w:val="0"/>
          <w:szCs w:val="32"/>
          <w:highlight w:val="none"/>
          <w:lang w:val="en-US" w:eastAsia="zh-CN"/>
        </w:rPr>
        <w:t>；</w:t>
      </w:r>
      <w:r>
        <w:rPr>
          <w:rFonts w:hint="eastAsia" w:ascii="Times New Roman" w:hAnsi="Times New Roman" w:eastAsia="仿宋_GB2312" w:cs="仿宋_GB2312"/>
          <w:snapToGrid w:val="0"/>
          <w:color w:val="000000"/>
          <w:spacing w:val="0"/>
          <w:kern w:val="0"/>
          <w:szCs w:val="32"/>
          <w:highlight w:val="none"/>
        </w:rPr>
        <w:t>积极引导金融机构对进入农村产权流转交易市场的农村产权项目给予融资支持，鼓励各类融资担保、资产评估等机构参与农村产权流转交易的相关配套服务</w:t>
      </w:r>
      <w:r>
        <w:rPr>
          <w:rFonts w:hint="eastAsia" w:ascii="Times New Roman" w:hAnsi="Times New Roman" w:eastAsia="仿宋_GB2312" w:cs="仿宋_GB2312"/>
          <w:snapToGrid w:val="0"/>
          <w:color w:val="000000"/>
          <w:spacing w:val="0"/>
          <w:kern w:val="0"/>
          <w:szCs w:val="32"/>
          <w:highlight w:val="none"/>
          <w:lang w:val="en-US" w:eastAsia="zh-CN"/>
        </w:rPr>
        <w:t>；</w:t>
      </w:r>
      <w:r>
        <w:rPr>
          <w:rFonts w:hint="eastAsia" w:ascii="Times New Roman" w:hAnsi="Times New Roman" w:eastAsia="仿宋_GB2312" w:cs="仿宋_GB2312"/>
          <w:snapToGrid w:val="0"/>
          <w:color w:val="000000"/>
          <w:spacing w:val="0"/>
          <w:kern w:val="0"/>
          <w:szCs w:val="32"/>
          <w:highlight w:val="none"/>
        </w:rPr>
        <w:t>鼓励保险机构对进入农村产权流转交易市场的农村土地流转项目提供土地流转履约保证保险业务服务。</w:t>
      </w:r>
    </w:p>
    <w:p>
      <w:pPr>
        <w:pStyle w:val="9"/>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Cs w:val="32"/>
        </w:rPr>
      </w:pPr>
      <w:r>
        <w:rPr>
          <w:rFonts w:hint="eastAsia" w:ascii="Times New Roman" w:hAnsi="Times New Roman" w:eastAsia="楷体_GB2312" w:cs="楷体_GB2312"/>
          <w:b w:val="0"/>
          <w:bCs w:val="0"/>
          <w:snapToGrid w:val="0"/>
          <w:color w:val="000000"/>
          <w:spacing w:val="0"/>
          <w:kern w:val="0"/>
          <w:sz w:val="32"/>
          <w:szCs w:val="32"/>
          <w:highlight w:val="none"/>
          <w:lang w:val="en-US" w:eastAsia="zh-CN" w:bidi="ar-SA"/>
        </w:rPr>
        <w:t>（四）加强风险防控。</w:t>
      </w:r>
      <w:r>
        <w:rPr>
          <w:rFonts w:hint="eastAsia" w:ascii="Times New Roman" w:hAnsi="Times New Roman" w:eastAsia="仿宋_GB2312" w:cs="仿宋_GB2312"/>
          <w:snapToGrid w:val="0"/>
          <w:color w:val="000000"/>
          <w:spacing w:val="0"/>
          <w:kern w:val="0"/>
          <w:szCs w:val="32"/>
          <w:highlight w:val="none"/>
        </w:rPr>
        <w:t>各</w:t>
      </w:r>
      <w:r>
        <w:rPr>
          <w:rFonts w:hint="eastAsia" w:ascii="Times New Roman" w:hAnsi="Times New Roman" w:eastAsia="仿宋_GB2312" w:cs="仿宋_GB2312"/>
          <w:snapToGrid w:val="0"/>
          <w:color w:val="000000"/>
          <w:spacing w:val="0"/>
          <w:kern w:val="0"/>
          <w:szCs w:val="32"/>
          <w:highlight w:val="none"/>
          <w:lang w:eastAsia="zh-CN"/>
        </w:rPr>
        <w:t>镇</w:t>
      </w:r>
      <w:r>
        <w:rPr>
          <w:rFonts w:hint="eastAsia" w:ascii="Times New Roman" w:hAnsi="Times New Roman" w:eastAsia="仿宋_GB2312" w:cs="仿宋_GB2312"/>
          <w:snapToGrid w:val="0"/>
          <w:color w:val="000000"/>
          <w:spacing w:val="0"/>
          <w:kern w:val="0"/>
          <w:szCs w:val="32"/>
          <w:highlight w:val="none"/>
        </w:rPr>
        <w:t>人民政府承担农村产权流转交易市场监管第一责任，要强化风险意识，明确监管责任，落实监管制度，做好统计监测、违规处理、风险</w:t>
      </w:r>
      <w:r>
        <w:rPr>
          <w:rFonts w:hint="eastAsia" w:ascii="Times New Roman" w:hAnsi="Times New Roman" w:eastAsia="仿宋_GB2312" w:cs="仿宋_GB2312"/>
          <w:snapToGrid w:val="0"/>
          <w:color w:val="000000"/>
          <w:spacing w:val="0"/>
          <w:kern w:val="0"/>
          <w:szCs w:val="32"/>
        </w:rPr>
        <w:t>处置等工作。要通过推动实现农村产权流转交易数据和抵（质）押登记数据的信息交互，为金融机构开展农村产权抵（质）押融资提供依据，防止“一权多贷”“一物多抵”。妥善处理农村产权流转交易过程中的矛盾纠纷，依法维护农村产权流转交易市场主体的合法权益。</w:t>
      </w:r>
    </w:p>
    <w:p>
      <w:pPr>
        <w:pStyle w:val="4"/>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仿宋_GB2312"/>
          <w:snapToGrid w:val="0"/>
          <w:color w:val="000000"/>
          <w:spacing w:val="0"/>
          <w:kern w:val="0"/>
          <w:szCs w:val="32"/>
          <w:lang w:eastAsia="zh-CN"/>
        </w:rPr>
      </w:pPr>
      <w:r>
        <w:rPr>
          <w:rFonts w:hint="eastAsia" w:ascii="Times New Roman" w:hAnsi="Times New Roman" w:eastAsia="楷体_GB2312" w:cs="楷体_GB2312"/>
          <w:b w:val="0"/>
          <w:bCs w:val="0"/>
          <w:snapToGrid w:val="0"/>
          <w:color w:val="000000"/>
          <w:spacing w:val="0"/>
          <w:kern w:val="0"/>
          <w:sz w:val="32"/>
          <w:szCs w:val="32"/>
          <w:highlight w:val="none"/>
          <w:lang w:val="en-US" w:eastAsia="zh-CN" w:bidi="ar-SA"/>
        </w:rPr>
        <w:t>（五）加强宣传引导。</w:t>
      </w:r>
      <w:r>
        <w:rPr>
          <w:rFonts w:hint="eastAsia" w:ascii="Times New Roman" w:hAnsi="Times New Roman" w:eastAsia="仿宋_GB2312" w:cs="仿宋_GB2312"/>
          <w:snapToGrid w:val="0"/>
          <w:color w:val="000000"/>
          <w:spacing w:val="0"/>
          <w:kern w:val="0"/>
          <w:szCs w:val="32"/>
        </w:rPr>
        <w:t>各</w:t>
      </w:r>
      <w:r>
        <w:rPr>
          <w:rFonts w:hint="eastAsia" w:ascii="Times New Roman" w:hAnsi="Times New Roman" w:eastAsia="仿宋_GB2312" w:cs="仿宋_GB2312"/>
          <w:snapToGrid w:val="0"/>
          <w:color w:val="000000"/>
          <w:spacing w:val="0"/>
          <w:kern w:val="0"/>
          <w:szCs w:val="32"/>
          <w:lang w:val="en-US" w:eastAsia="zh-CN"/>
        </w:rPr>
        <w:t>镇</w:t>
      </w:r>
      <w:r>
        <w:rPr>
          <w:rFonts w:hint="eastAsia" w:ascii="Times New Roman" w:hAnsi="Times New Roman" w:eastAsia="仿宋_GB2312" w:cs="仿宋_GB2312"/>
          <w:snapToGrid w:val="0"/>
          <w:color w:val="000000"/>
          <w:spacing w:val="0"/>
          <w:kern w:val="0"/>
          <w:szCs w:val="32"/>
        </w:rPr>
        <w:t>要大力宣传建立农村产权流转交易市场的重大意义和实践中的典型经验，</w:t>
      </w:r>
      <w:r>
        <w:rPr>
          <w:rFonts w:hint="eastAsia" w:ascii="Times New Roman" w:hAnsi="Times New Roman" w:eastAsia="仿宋_GB2312" w:cs="仿宋_GB2312"/>
          <w:snapToGrid w:val="0"/>
          <w:color w:val="000000"/>
          <w:spacing w:val="0"/>
          <w:kern w:val="0"/>
          <w:szCs w:val="32"/>
          <w:lang w:eastAsia="zh-CN"/>
        </w:rPr>
        <w:t>增强</w:t>
      </w:r>
      <w:r>
        <w:rPr>
          <w:rFonts w:hint="eastAsia" w:ascii="Times New Roman" w:hAnsi="Times New Roman" w:eastAsia="仿宋_GB2312" w:cs="仿宋_GB2312"/>
          <w:snapToGrid w:val="0"/>
          <w:color w:val="000000"/>
          <w:spacing w:val="0"/>
          <w:kern w:val="0"/>
          <w:szCs w:val="32"/>
        </w:rPr>
        <w:t>农民的产权意识，提升各主体进入农村产权流转交易市场交易的积极性，加强基层干部和相关从业人员业务培训，充分发挥市场作用和交易平台功能，推动我</w:t>
      </w:r>
      <w:r>
        <w:rPr>
          <w:rFonts w:hint="eastAsia" w:ascii="Times New Roman" w:hAnsi="Times New Roman" w:eastAsia="仿宋_GB2312" w:cs="仿宋_GB2312"/>
          <w:snapToGrid w:val="0"/>
          <w:color w:val="000000"/>
          <w:spacing w:val="0"/>
          <w:kern w:val="0"/>
          <w:szCs w:val="32"/>
          <w:lang w:val="en-US" w:eastAsia="zh-CN"/>
        </w:rPr>
        <w:t>区</w:t>
      </w:r>
      <w:r>
        <w:rPr>
          <w:rFonts w:hint="eastAsia" w:ascii="Times New Roman" w:hAnsi="Times New Roman" w:eastAsia="仿宋_GB2312" w:cs="仿宋_GB2312"/>
          <w:snapToGrid w:val="0"/>
          <w:color w:val="000000"/>
          <w:spacing w:val="0"/>
          <w:kern w:val="0"/>
          <w:szCs w:val="32"/>
        </w:rPr>
        <w:t>农村产权流转交易市场健康发展</w:t>
      </w:r>
      <w:r>
        <w:rPr>
          <w:rFonts w:hint="eastAsia" w:ascii="Times New Roman" w:hAnsi="Times New Roman" w:eastAsia="仿宋_GB2312" w:cs="仿宋_GB2312"/>
          <w:snapToGrid w:val="0"/>
          <w:color w:val="000000"/>
          <w:spacing w:val="0"/>
          <w:kern w:val="0"/>
          <w:szCs w:val="32"/>
          <w:lang w:eastAsia="zh-CN"/>
        </w:rPr>
        <w:t>。</w:t>
      </w:r>
    </w:p>
    <w:p>
      <w:pPr>
        <w:pStyle w:val="5"/>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仿宋_GB2312"/>
          <w:snapToGrid w:val="0"/>
          <w:color w:val="000000"/>
          <w:spacing w:val="0"/>
          <w:kern w:val="0"/>
          <w:sz w:val="32"/>
          <w:szCs w:val="32"/>
          <w:lang w:val="en-US" w:eastAsia="zh-CN" w:bidi="ar-SA"/>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pStyle w:val="5"/>
        <w:rPr>
          <w:rFonts w:hint="eastAsia" w:ascii="Times New Roman" w:hAnsi="Times New Roman" w:eastAsia="仿宋_GB2312" w:cs="仿宋_GB2312"/>
          <w:snapToGrid w:val="0"/>
          <w:color w:val="000000"/>
          <w:spacing w:val="0"/>
          <w:kern w:val="0"/>
          <w:szCs w:val="32"/>
          <w:lang w:eastAsia="zh-CN"/>
        </w:rPr>
      </w:pPr>
    </w:p>
    <w:p>
      <w:pPr>
        <w:keepNext w:val="0"/>
        <w:keepLines w:val="0"/>
        <w:pageBreakBefore w:val="0"/>
        <w:widowControl w:val="0"/>
        <w:pBdr>
          <w:top w:val="none" w:color="auto" w:sz="0" w:space="1"/>
          <w:left w:val="none" w:color="auto" w:sz="0" w:space="0"/>
          <w:bottom w:val="none" w:color="auto" w:sz="0" w:space="4"/>
          <w:right w:val="none" w:color="auto" w:sz="0" w:space="0"/>
          <w:between w:val="none" w:color="auto" w:sz="0" w:space="0"/>
        </w:pBdr>
        <w:kinsoku/>
        <w:wordWrap/>
        <w:overflowPunct w:val="0"/>
        <w:topLinePunct w:val="0"/>
        <w:autoSpaceDE w:val="0"/>
        <w:autoSpaceDN w:val="0"/>
        <w:bidi w:val="0"/>
        <w:adjustRightInd w:val="0"/>
        <w:snapToGrid/>
        <w:spacing w:line="500" w:lineRule="exact"/>
        <w:textAlignment w:val="auto"/>
        <w:rPr>
          <w:rFonts w:hint="eastAsia" w:ascii="Times New Roman" w:hAnsi="Times New Roman" w:eastAsia="仿宋_GB2312"/>
          <w:snapToGrid w:val="0"/>
          <w:color w:val="000000"/>
          <w:kern w:val="0"/>
          <w:lang w:val="en-US" w:eastAsia="zh-CN"/>
        </w:rPr>
      </w:pPr>
    </w:p>
    <w:sectPr>
      <w:footerReference r:id="rId3" w:type="default"/>
      <w:pgSz w:w="11906" w:h="16838"/>
      <w:pgMar w:top="1871" w:right="1531" w:bottom="1928" w:left="1531"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大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- 1 -</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- 1 -</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BC9F5"/>
    <w:rsid w:val="23776939"/>
    <w:rsid w:val="3BAEFC57"/>
    <w:rsid w:val="3EC7086A"/>
    <w:rsid w:val="42B5CB6D"/>
    <w:rsid w:val="44C901B1"/>
    <w:rsid w:val="48B54E71"/>
    <w:rsid w:val="48E06AE1"/>
    <w:rsid w:val="4CFF14A8"/>
    <w:rsid w:val="580829EA"/>
    <w:rsid w:val="5EEC4356"/>
    <w:rsid w:val="5F9E590C"/>
    <w:rsid w:val="63B97D62"/>
    <w:rsid w:val="67F1AE10"/>
    <w:rsid w:val="6C8F4F84"/>
    <w:rsid w:val="6F6F69F5"/>
    <w:rsid w:val="74771EA5"/>
    <w:rsid w:val="74FB8715"/>
    <w:rsid w:val="76EBF653"/>
    <w:rsid w:val="778B508F"/>
    <w:rsid w:val="77BBC9F5"/>
    <w:rsid w:val="7BDEE44D"/>
    <w:rsid w:val="7DFC1AB3"/>
    <w:rsid w:val="7E0B01FE"/>
    <w:rsid w:val="7EB21C69"/>
    <w:rsid w:val="7F74C140"/>
    <w:rsid w:val="7F9F5644"/>
    <w:rsid w:val="973E6034"/>
    <w:rsid w:val="9FF77213"/>
    <w:rsid w:val="BA4F6FE5"/>
    <w:rsid w:val="CFFFE569"/>
    <w:rsid w:val="D9FA5363"/>
    <w:rsid w:val="DBD9669E"/>
    <w:rsid w:val="DDAD4B23"/>
    <w:rsid w:val="DE1BE542"/>
    <w:rsid w:val="E6B36A3C"/>
    <w:rsid w:val="E7CB4202"/>
    <w:rsid w:val="ED6FE592"/>
    <w:rsid w:val="EFEF7492"/>
    <w:rsid w:val="F7EB629C"/>
    <w:rsid w:val="FE79AB41"/>
    <w:rsid w:val="FFBBF2D0"/>
    <w:rsid w:val="FFCDE013"/>
    <w:rsid w:val="FFDFD7ED"/>
    <w:rsid w:val="FFEF5182"/>
    <w:rsid w:val="FFEFEDD3"/>
    <w:rsid w:val="FFFE33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rFonts w:cs="方正仿宋简体"/>
      <w:szCs w:val="32"/>
    </w:rPr>
  </w:style>
  <w:style w:type="paragraph" w:customStyle="1" w:styleId="3">
    <w:name w:val="BodyTextIndent"/>
    <w:basedOn w:val="1"/>
    <w:qFormat/>
    <w:uiPriority w:val="0"/>
    <w:pPr>
      <w:spacing w:line="580" w:lineRule="exact"/>
      <w:ind w:left="-1" w:firstLine="10" w:firstLineChars="3"/>
    </w:pPr>
    <w:rPr>
      <w:rFonts w:ascii="宋体" w:hAnsi="宋体"/>
    </w:rPr>
  </w:style>
  <w:style w:type="paragraph" w:styleId="4">
    <w:name w:val="Body Text"/>
    <w:basedOn w:val="1"/>
    <w:next w:val="5"/>
    <w:qFormat/>
    <w:uiPriority w:val="0"/>
    <w:pPr>
      <w:spacing w:line="600" w:lineRule="exact"/>
    </w:pPr>
    <w:rPr>
      <w:rFonts w:eastAsia="宋体"/>
      <w:spacing w:val="8"/>
      <w:sz w:val="32"/>
    </w:rPr>
  </w:style>
  <w:style w:type="paragraph" w:styleId="5">
    <w:name w:val="Body Text 2"/>
    <w:basedOn w:val="1"/>
    <w:qFormat/>
    <w:uiPriority w:val="0"/>
    <w:pPr>
      <w:widowControl/>
      <w:spacing w:line="400" w:lineRule="atLeast"/>
      <w:jc w:val="left"/>
    </w:pPr>
    <w:rPr>
      <w:kern w:val="0"/>
      <w:sz w:val="24"/>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4"/>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3304</Words>
  <Characters>3369</Characters>
  <Lines>0</Lines>
  <Paragraphs>0</Paragraphs>
  <TotalTime>68.3333333333333</TotalTime>
  <ScaleCrop>false</ScaleCrop>
  <LinksUpToDate>false</LinksUpToDate>
  <CharactersWithSpaces>3404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2026-01-08T07:08:00Z</dcterms:created>
  <dc:creator>fuwz</dc:creator>
  <cp:lastModifiedBy>Administrator</cp:lastModifiedBy>
  <cp:lastPrinted>2026-01-26T10:49:12Z</cp:lastPrinted>
  <dcterms:modified xsi:type="dcterms:W3CDTF">2026-04-15T03:03:14Z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18A50FEBA74B414EA2E01E3B5A482040</vt:lpwstr>
  </property>
  <property fmtid="{D5CDD505-2E9C-101B-9397-08002B2CF9AE}" pid="4" name="KSOTemplateDocerSaveRecord">
    <vt:lpwstr>eyJoZGlkIjoiNTBjZDRkYTAwZjRmZTZlYjQ4YjE2ZjcyYjI3NTY1YjIiLCJ1c2VySWQiOiI0MjI3NDQ1MDcifQ==</vt:lpwstr>
  </property>
</Properties>
</file>